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94AA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55142708" w14:textId="77777777" w:rsidR="002C6DEF" w:rsidRDefault="002C6DEF" w:rsidP="008C4D92">
      <w:pPr>
        <w:pStyle w:val="NormalWeb"/>
        <w:spacing w:after="0"/>
        <w:jc w:val="center"/>
      </w:pPr>
    </w:p>
    <w:p w14:paraId="012A3FB1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EEE51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454B14" w14:textId="77777777" w:rsidR="00781CCF" w:rsidRPr="00366993" w:rsidRDefault="0036699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0"/>
                                <w:szCs w:val="140"/>
                                <w:lang w:val="fr-FR"/>
                              </w:rPr>
                            </w:pPr>
                            <w:r w:rsidRPr="0036699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0"/>
                                <w:szCs w:val="140"/>
                                <w:lang w:val="fr-FR"/>
                              </w:rPr>
                              <w:t>SENTRY</w:t>
                            </w:r>
                            <w:r w:rsidR="008F4051" w:rsidRPr="0036699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0"/>
                                <w:szCs w:val="140"/>
                                <w:lang w:val="fr-FR"/>
                              </w:rPr>
                              <w:t>6</w:t>
                            </w:r>
                            <w:r w:rsidRPr="0036699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0"/>
                                <w:szCs w:val="140"/>
                                <w:lang w:val="fr-FR"/>
                              </w:rPr>
                              <w:t>S</w:t>
                            </w:r>
                            <w:r w:rsidR="00F02453" w:rsidRPr="0036699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0"/>
                                <w:szCs w:val="140"/>
                                <w:lang w:val="fr-FR"/>
                              </w:rPr>
                              <w:t>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EEE5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37454B14" w14:textId="77777777" w:rsidR="00781CCF" w:rsidRPr="00366993" w:rsidRDefault="0036699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0"/>
                          <w:szCs w:val="140"/>
                          <w:lang w:val="fr-FR"/>
                        </w:rPr>
                      </w:pPr>
                      <w:r w:rsidRPr="0036699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0"/>
                          <w:szCs w:val="140"/>
                          <w:lang w:val="fr-FR"/>
                        </w:rPr>
                        <w:t>SENTRY</w:t>
                      </w:r>
                      <w:r w:rsidR="008F4051" w:rsidRPr="0036699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0"/>
                          <w:szCs w:val="140"/>
                          <w:lang w:val="fr-FR"/>
                        </w:rPr>
                        <w:t>6</w:t>
                      </w:r>
                      <w:r w:rsidRPr="0036699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0"/>
                          <w:szCs w:val="140"/>
                          <w:lang w:val="fr-FR"/>
                        </w:rPr>
                        <w:t>S</w:t>
                      </w:r>
                      <w:r w:rsidR="00F02453" w:rsidRPr="0036699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0"/>
                          <w:szCs w:val="140"/>
                          <w:lang w:val="fr-FR"/>
                        </w:rPr>
                        <w:t>T/EN</w:t>
                      </w:r>
                    </w:p>
                  </w:txbxContent>
                </v:textbox>
              </v:shape>
            </w:pict>
          </mc:Fallback>
        </mc:AlternateContent>
      </w:r>
    </w:p>
    <w:p w14:paraId="4CDA1E59" w14:textId="77777777" w:rsidR="002C6DEF" w:rsidRDefault="002C6DEF" w:rsidP="008C4D92">
      <w:pPr>
        <w:pStyle w:val="NormalWeb"/>
        <w:spacing w:after="0"/>
        <w:jc w:val="center"/>
      </w:pPr>
    </w:p>
    <w:p w14:paraId="66CB2D40" w14:textId="77777777" w:rsidR="00C74935" w:rsidRDefault="00C74935" w:rsidP="008C4D92">
      <w:pPr>
        <w:pStyle w:val="NormalWeb"/>
        <w:spacing w:after="0"/>
        <w:jc w:val="center"/>
      </w:pPr>
    </w:p>
    <w:p w14:paraId="1B93CB4A" w14:textId="77777777" w:rsidR="008C4D92" w:rsidRDefault="008C4D92" w:rsidP="008C4D92">
      <w:pPr>
        <w:pStyle w:val="Default"/>
      </w:pPr>
    </w:p>
    <w:p w14:paraId="0FEAA3F6" w14:textId="77777777" w:rsidR="00B851AF" w:rsidRDefault="00B851AF" w:rsidP="008C4D92">
      <w:pPr>
        <w:pStyle w:val="Default"/>
      </w:pPr>
    </w:p>
    <w:p w14:paraId="37A0D22F" w14:textId="77777777" w:rsidR="00B851AF" w:rsidRDefault="00B851AF" w:rsidP="008C4D92">
      <w:pPr>
        <w:pStyle w:val="Default"/>
      </w:pPr>
    </w:p>
    <w:p w14:paraId="2FAC294C" w14:textId="77777777" w:rsidR="00D96B92" w:rsidRPr="00366993" w:rsidRDefault="00366993" w:rsidP="00366993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color w:val="70378F"/>
          <w:sz w:val="32"/>
          <w:szCs w:val="32"/>
        </w:rPr>
      </w:pPr>
      <w:r w:rsidRPr="00366993">
        <w:rPr>
          <w:rFonts w:ascii="FuturaA Bk BT;Century Gothic" w:hAnsi="FuturaA Bk BT;Century Gothic"/>
          <w:color w:val="70378F"/>
          <w:sz w:val="32"/>
          <w:szCs w:val="32"/>
        </w:rPr>
        <w:t>Wand-/</w:t>
      </w:r>
      <w:proofErr w:type="spellStart"/>
      <w:r w:rsidRPr="00366993">
        <w:rPr>
          <w:rFonts w:ascii="FuturaA Bk BT;Century Gothic" w:hAnsi="FuturaA Bk BT;Century Gothic"/>
          <w:color w:val="70378F"/>
          <w:sz w:val="32"/>
          <w:szCs w:val="32"/>
        </w:rPr>
        <w:t>Deckenaufbaulautsprecher</w:t>
      </w:r>
      <w:proofErr w:type="spellEnd"/>
      <w:r w:rsidRPr="00366993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Pr="00366993">
        <w:rPr>
          <w:rFonts w:ascii="FuturaA Bk BT;Century Gothic" w:hAnsi="FuturaA Bk BT;Century Gothic"/>
          <w:color w:val="70378F"/>
          <w:sz w:val="32"/>
          <w:szCs w:val="32"/>
        </w:rPr>
        <w:t>quadratisch</w:t>
      </w:r>
      <w:proofErr w:type="spellEnd"/>
      <w:r w:rsidRPr="00366993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Pr="00366993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 w:rsidRPr="00366993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Pr="00366993">
        <w:rPr>
          <w:rFonts w:ascii="FuturaA Bk BT;Century Gothic" w:hAnsi="FuturaA Bk BT;Century Gothic"/>
          <w:color w:val="70378F"/>
          <w:sz w:val="32"/>
          <w:szCs w:val="32"/>
        </w:rPr>
        <w:t>Vandalismusgeschützt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7AB90260" w14:textId="77777777" w:rsidR="008F4051" w:rsidRDefault="008F4051" w:rsidP="008F4051"/>
    <w:p w14:paraId="269D1ECD" w14:textId="77777777" w:rsidR="00366993" w:rsidRPr="00366993" w:rsidRDefault="00366993" w:rsidP="00366993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gegen Vandalismus geschützte Metall-Aufbaulautsprecher, hergestellt aus hochwertigem, mit Kunststoff überzogenem Qualitätsstahl enthält ein spezielles Chassis, das einen breiteren Frequenzbereich abdeckt und sind dadurch sowohl für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gute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Sprach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-,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als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auch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qualitativ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hervorragende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Musikwiedergabe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einsetzbar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</w:p>
    <w:p w14:paraId="74B3771C" w14:textId="77777777" w:rsidR="00366993" w:rsidRPr="00366993" w:rsidRDefault="00366993" w:rsidP="00366993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robuste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ästhetische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Lautsprecher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sowohl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auf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festen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Decken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als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auch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an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Wänden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montiert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werden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Geliefert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zwei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vorgestanzten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Aufnahmen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Kabelverschraubungen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bietet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dem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Installateur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die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Möglichkeit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des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Durchschleifens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so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bei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der Montage Zeit und Kosten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sparen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23ED68CE" w14:textId="77777777" w:rsidR="00366993" w:rsidRPr="00366993" w:rsidRDefault="00366993" w:rsidP="00366993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br/>
        <w:t xml:space="preserve">Durch die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in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Sprachalarmanlagen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(SAA) </w:t>
      </w:r>
      <w:proofErr w:type="spellStart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3669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VDE 0833 – Teil 4 eingesetzt werden.</w:t>
      </w:r>
    </w:p>
    <w:p w14:paraId="65DA7595" w14:textId="77777777" w:rsidR="00366993" w:rsidRPr="00366993" w:rsidRDefault="00366993" w:rsidP="008F4051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08DDD1AA" w14:textId="77777777" w:rsidR="008F4051" w:rsidRPr="008F4051" w:rsidRDefault="008F4051" w:rsidP="008F4051">
      <w:pPr>
        <w:rPr>
          <w:lang w:val="de-DE"/>
        </w:rPr>
      </w:pPr>
    </w:p>
    <w:p w14:paraId="40C115E3" w14:textId="77777777" w:rsidR="00FC491C" w:rsidRPr="00FC491C" w:rsidRDefault="00FC491C" w:rsidP="00FC491C">
      <w:pPr>
        <w:rPr>
          <w:lang w:val="de-DE"/>
        </w:rPr>
        <w:sectPr w:rsidR="00FC491C" w:rsidRPr="00FC491C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4A7188F8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0A07454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269B7303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74310B4B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498124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902317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2E57C87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88B290B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DB25AF2" w14:textId="10993DE4" w:rsidR="00786B47" w:rsidRPr="00C11CB6" w:rsidRDefault="003372C3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3372C3">
                  <w:rPr>
                    <w:rFonts w:ascii="Arial" w:hAnsi="Arial" w:cs="Arial"/>
                    <w:sz w:val="18"/>
                    <w:szCs w:val="18"/>
                  </w:rPr>
                  <w:t>0905-CPR-201106</w:t>
                </w:r>
              </w:p>
            </w:tc>
          </w:tr>
          <w:tr w:rsidR="00C11CB6" w:rsidRPr="001A6B46" w14:paraId="605BAEB3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8B31D5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A790905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239B531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849F779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8A7ACC2" w14:textId="77777777" w:rsidR="00786B47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131BE3C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8D041B3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875326B" w14:textId="77777777" w:rsidR="00786B47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,5/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/0,25</w:t>
                </w:r>
              </w:p>
            </w:tc>
          </w:tr>
          <w:tr w:rsidR="00C11CB6" w:rsidRPr="001A6B46" w14:paraId="18E69C7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FFEFA6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3D90D78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743051A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20C91C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742AE95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3/1.5/0.75/0.375/0.125</w:t>
                </w:r>
              </w:p>
            </w:tc>
          </w:tr>
          <w:tr w:rsidR="00C11CB6" w:rsidRPr="001A6B46" w14:paraId="49EA3DC9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CBA925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C8C356C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266524B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A5121C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589E6B9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366993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0-1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06779AC6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13E74B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40F9FF1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60C1C9FC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579569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AFB2B8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366993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</w:p>
            </w:tc>
          </w:tr>
          <w:tr w:rsidR="00C11CB6" w:rsidRPr="00E256BA" w14:paraId="36B4BAD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56EB0A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27AA912" w14:textId="77777777" w:rsidR="00C11CB6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366993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E256BA" w14:paraId="65AB1F2D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E70461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43CA5A2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366993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E256BA" w14:paraId="2AE240A2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70D7ED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26C6922B" w14:textId="77777777" w:rsidR="00C11CB6" w:rsidRPr="00C11CB6" w:rsidRDefault="00366993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108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108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62BFFE8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4D6457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B34C6EA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63AF69C2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7A94AD9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34D4D300" w14:textId="77777777" w:rsidR="00C11CB6" w:rsidRPr="00C11CB6" w:rsidRDefault="00366993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52</w:t>
                </w:r>
              </w:p>
            </w:tc>
          </w:tr>
          <w:tr w:rsidR="00C11CB6" w:rsidRPr="00E256BA" w14:paraId="32A73959" w14:textId="77777777" w:rsidTr="00C11CB6">
            <w:tc>
              <w:tcPr>
                <w:tcW w:w="5245" w:type="dxa"/>
                <w:vAlign w:val="center"/>
              </w:tcPr>
              <w:p w14:paraId="5B79319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3710A5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2F611DAC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44FE19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78DA0D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745AE33A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BBC0BB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81AB9E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4C8ACEA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DCC222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B4621C7" w14:textId="77777777" w:rsidR="00C11CB6" w:rsidRPr="008F4051" w:rsidRDefault="00366993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190</w:t>
                </w:r>
                <w:r w:rsidR="008F4051" w:rsidRPr="008F4051">
                  <w:rPr>
                    <w:rFonts w:ascii="Arial" w:hAnsi="Arial" w:cs="Arial"/>
                    <w:sz w:val="18"/>
                    <w:szCs w:val="18"/>
                  </w:rPr>
                  <w:t xml:space="preserve"> x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19</w:t>
                </w:r>
                <w:r w:rsidR="008F4051" w:rsidRPr="008F4051">
                  <w:rPr>
                    <w:rFonts w:ascii="Arial" w:hAnsi="Arial" w:cs="Arial"/>
                    <w:sz w:val="18"/>
                    <w:szCs w:val="18"/>
                  </w:rPr>
                  <w:t xml:space="preserve">0 x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75</w:t>
                </w:r>
              </w:p>
            </w:tc>
          </w:tr>
          <w:tr w:rsidR="00C11CB6" w:rsidRPr="00E256BA" w14:paraId="1C640EDA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4276E3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7BCADCA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9C3D1B">
                  <w:rPr>
                    <w:rFonts w:ascii="Arial" w:hAnsi="Arial" w:cs="Arial"/>
                    <w:sz w:val="18"/>
                    <w:szCs w:val="18"/>
                  </w:rPr>
                  <w:t>1.</w:t>
                </w:r>
                <w:r w:rsidR="00366993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E256BA" w14:paraId="1355A3D8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59A8D6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52F517A" w14:textId="77777777" w:rsidR="00C11CB6" w:rsidRPr="008F4051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07C2875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77B45D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F3462E4" w14:textId="77777777" w:rsidR="00C11CB6" w:rsidRPr="008F4051" w:rsidRDefault="00366993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Stahlfront</w:t>
                </w:r>
                <w:proofErr w:type="spellEnd"/>
                <w:r w:rsidRPr="0036699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Spritzgussaluminium</w:t>
                </w:r>
                <w:proofErr w:type="spellEnd"/>
                <w:r w:rsidRPr="00366993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rückwärtige</w:t>
                </w:r>
                <w:proofErr w:type="spellEnd"/>
                <w:r w:rsidRPr="0036699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Abdeckung</w:t>
                </w:r>
                <w:proofErr w:type="spellEnd"/>
                <w:r w:rsidRPr="0036699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aus</w:t>
                </w:r>
                <w:proofErr w:type="spellEnd"/>
                <w:r w:rsidRPr="0036699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Drückguss</w:t>
                </w:r>
                <w:proofErr w:type="spellEnd"/>
              </w:p>
            </w:tc>
          </w:tr>
          <w:tr w:rsidR="00C11CB6" w:rsidRPr="00E256BA" w14:paraId="522B7DE1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CCFE00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DD1BC23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Schrauben</w:t>
                </w:r>
              </w:p>
            </w:tc>
          </w:tr>
          <w:tr w:rsidR="00C11CB6" w:rsidRPr="00E256BA" w14:paraId="1452E35A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989018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80D2569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3B6106E9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4AE8AAD8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969F" w14:textId="77777777" w:rsidR="000422BF" w:rsidRDefault="000422BF" w:rsidP="0051148C">
      <w:r>
        <w:separator/>
      </w:r>
    </w:p>
  </w:endnote>
  <w:endnote w:type="continuationSeparator" w:id="0">
    <w:p w14:paraId="6A74084B" w14:textId="77777777" w:rsidR="000422BF" w:rsidRDefault="000422BF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2C1E" w14:textId="77777777" w:rsidR="003372C3" w:rsidRDefault="003372C3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3F16273" wp14:editId="6E5AB0AA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62A27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85D3" w14:textId="77777777" w:rsidR="003372C3" w:rsidRDefault="003372C3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7A1E1B1" wp14:editId="185C2ED3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088900148" name="Slika 1088900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4C26D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46400571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05D852EC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56F1D00B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15C72B90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14DEE691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211DA5CE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0E3D" w14:textId="77777777" w:rsidR="000422BF" w:rsidRDefault="000422BF" w:rsidP="0051148C">
      <w:r>
        <w:separator/>
      </w:r>
    </w:p>
  </w:footnote>
  <w:footnote w:type="continuationSeparator" w:id="0">
    <w:p w14:paraId="5A695A03" w14:textId="77777777" w:rsidR="000422BF" w:rsidRDefault="000422BF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23CB" w14:textId="3BFF2FA4" w:rsidR="009C3D1B" w:rsidRDefault="003372C3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7D38570" wp14:editId="00E17FF6">
          <wp:simplePos x="0" y="0"/>
          <wp:positionH relativeFrom="column">
            <wp:posOffset>-1138555</wp:posOffset>
          </wp:positionH>
          <wp:positionV relativeFrom="paragraph">
            <wp:posOffset>-139065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67C1" w14:textId="275B91F4" w:rsidR="00504AFD" w:rsidRDefault="003372C3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EFAFA1B" wp14:editId="67BDB772">
          <wp:simplePos x="0" y="0"/>
          <wp:positionH relativeFrom="page">
            <wp:align>right</wp:align>
          </wp:positionH>
          <wp:positionV relativeFrom="paragraph">
            <wp:posOffset>-116205</wp:posOffset>
          </wp:positionV>
          <wp:extent cx="7562088" cy="724435"/>
          <wp:effectExtent l="0" t="0" r="1270" b="0"/>
          <wp:wrapSquare wrapText="bothSides"/>
          <wp:docPr id="707944073" name="Slika 707944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0FF8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501776008">
    <w:abstractNumId w:val="40"/>
  </w:num>
  <w:num w:numId="2" w16cid:durableId="920720620">
    <w:abstractNumId w:val="43"/>
  </w:num>
  <w:num w:numId="3" w16cid:durableId="1068571539">
    <w:abstractNumId w:val="29"/>
  </w:num>
  <w:num w:numId="4" w16cid:durableId="263656739">
    <w:abstractNumId w:val="15"/>
  </w:num>
  <w:num w:numId="5" w16cid:durableId="1408113593">
    <w:abstractNumId w:val="32"/>
  </w:num>
  <w:num w:numId="6" w16cid:durableId="1409619010">
    <w:abstractNumId w:val="0"/>
  </w:num>
  <w:num w:numId="7" w16cid:durableId="451477801">
    <w:abstractNumId w:val="25"/>
  </w:num>
  <w:num w:numId="8" w16cid:durableId="344211859">
    <w:abstractNumId w:val="20"/>
  </w:num>
  <w:num w:numId="9" w16cid:durableId="1621913827">
    <w:abstractNumId w:val="34"/>
  </w:num>
  <w:num w:numId="10" w16cid:durableId="1844969549">
    <w:abstractNumId w:val="21"/>
  </w:num>
  <w:num w:numId="11" w16cid:durableId="1278873046">
    <w:abstractNumId w:val="27"/>
  </w:num>
  <w:num w:numId="12" w16cid:durableId="543056661">
    <w:abstractNumId w:val="2"/>
  </w:num>
  <w:num w:numId="13" w16cid:durableId="1134635199">
    <w:abstractNumId w:val="48"/>
  </w:num>
  <w:num w:numId="14" w16cid:durableId="1774940324">
    <w:abstractNumId w:val="26"/>
  </w:num>
  <w:num w:numId="15" w16cid:durableId="1464302456">
    <w:abstractNumId w:val="12"/>
  </w:num>
  <w:num w:numId="16" w16cid:durableId="1755279446">
    <w:abstractNumId w:val="46"/>
  </w:num>
  <w:num w:numId="17" w16cid:durableId="1839998295">
    <w:abstractNumId w:val="28"/>
  </w:num>
  <w:num w:numId="18" w16cid:durableId="1533499714">
    <w:abstractNumId w:val="16"/>
  </w:num>
  <w:num w:numId="19" w16cid:durableId="1292662753">
    <w:abstractNumId w:val="22"/>
  </w:num>
  <w:num w:numId="20" w16cid:durableId="726101040">
    <w:abstractNumId w:val="45"/>
  </w:num>
  <w:num w:numId="21" w16cid:durableId="682123133">
    <w:abstractNumId w:val="1"/>
  </w:num>
  <w:num w:numId="22" w16cid:durableId="498735759">
    <w:abstractNumId w:val="35"/>
  </w:num>
  <w:num w:numId="23" w16cid:durableId="1961719231">
    <w:abstractNumId w:val="11"/>
  </w:num>
  <w:num w:numId="24" w16cid:durableId="1883125899">
    <w:abstractNumId w:val="30"/>
  </w:num>
  <w:num w:numId="25" w16cid:durableId="75979555">
    <w:abstractNumId w:val="18"/>
  </w:num>
  <w:num w:numId="26" w16cid:durableId="2031711565">
    <w:abstractNumId w:val="33"/>
  </w:num>
  <w:num w:numId="27" w16cid:durableId="1895696350">
    <w:abstractNumId w:val="37"/>
  </w:num>
  <w:num w:numId="28" w16cid:durableId="424351137">
    <w:abstractNumId w:val="14"/>
  </w:num>
  <w:num w:numId="29" w16cid:durableId="368919476">
    <w:abstractNumId w:val="5"/>
  </w:num>
  <w:num w:numId="30" w16cid:durableId="1506745611">
    <w:abstractNumId w:val="39"/>
  </w:num>
  <w:num w:numId="31" w16cid:durableId="78063631">
    <w:abstractNumId w:val="42"/>
  </w:num>
  <w:num w:numId="32" w16cid:durableId="723065972">
    <w:abstractNumId w:val="19"/>
  </w:num>
  <w:num w:numId="33" w16cid:durableId="1958945503">
    <w:abstractNumId w:val="6"/>
  </w:num>
  <w:num w:numId="34" w16cid:durableId="881483761">
    <w:abstractNumId w:val="41"/>
  </w:num>
  <w:num w:numId="35" w16cid:durableId="796529298">
    <w:abstractNumId w:val="13"/>
  </w:num>
  <w:num w:numId="36" w16cid:durableId="1982878211">
    <w:abstractNumId w:val="23"/>
  </w:num>
  <w:num w:numId="37" w16cid:durableId="856232689">
    <w:abstractNumId w:val="24"/>
  </w:num>
  <w:num w:numId="38" w16cid:durableId="663511395">
    <w:abstractNumId w:val="38"/>
  </w:num>
  <w:num w:numId="39" w16cid:durableId="501895596">
    <w:abstractNumId w:val="36"/>
  </w:num>
  <w:num w:numId="40" w16cid:durableId="610162728">
    <w:abstractNumId w:val="4"/>
  </w:num>
  <w:num w:numId="41" w16cid:durableId="1737969681">
    <w:abstractNumId w:val="10"/>
  </w:num>
  <w:num w:numId="42" w16cid:durableId="1585649252">
    <w:abstractNumId w:val="3"/>
  </w:num>
  <w:num w:numId="43" w16cid:durableId="419260666">
    <w:abstractNumId w:val="7"/>
  </w:num>
  <w:num w:numId="44" w16cid:durableId="1976719764">
    <w:abstractNumId w:val="44"/>
  </w:num>
  <w:num w:numId="45" w16cid:durableId="1571651533">
    <w:abstractNumId w:val="17"/>
  </w:num>
  <w:num w:numId="46" w16cid:durableId="1106996484">
    <w:abstractNumId w:val="31"/>
  </w:num>
  <w:num w:numId="47" w16cid:durableId="1334840786">
    <w:abstractNumId w:val="9"/>
  </w:num>
  <w:num w:numId="48" w16cid:durableId="773743119">
    <w:abstractNumId w:val="8"/>
  </w:num>
  <w:num w:numId="49" w16cid:durableId="644237298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22BF"/>
    <w:rsid w:val="000471A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75306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372C3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6993"/>
    <w:rsid w:val="0036744C"/>
    <w:rsid w:val="00376547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3AB8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14307"/>
    <w:rsid w:val="0071670A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4051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3CFB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BF30BC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81B80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SENTRY6ST/EN           A&amp;I Spezifikation</dc:title>
  <dc:creator>行銷助專_許筠亞</dc:creator>
  <cp:lastModifiedBy>Jovana Savija ATEÏS</cp:lastModifiedBy>
  <cp:revision>5</cp:revision>
  <cp:lastPrinted>2016-02-24T06:19:00Z</cp:lastPrinted>
  <dcterms:created xsi:type="dcterms:W3CDTF">2020-04-21T20:27:00Z</dcterms:created>
  <dcterms:modified xsi:type="dcterms:W3CDTF">2023-08-08T09:39:00Z</dcterms:modified>
</cp:coreProperties>
</file>